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CCC8" w14:textId="77777777" w:rsidR="000D0EF3" w:rsidRDefault="00000000">
      <w:pPr>
        <w:pStyle w:val="Body2"/>
        <w:spacing w:after="0"/>
        <w:ind w:firstLine="567"/>
        <w:jc w:val="right"/>
        <w:rPr>
          <w:rFonts w:cs="Times New Roman"/>
          <w:sz w:val="20"/>
          <w:szCs w:val="20"/>
        </w:rPr>
      </w:pPr>
      <w:bookmarkStart w:id="0" w:name="__DdeLink__8069_1846216379"/>
      <w:bookmarkStart w:id="1" w:name="_Toc60525490"/>
      <w:bookmarkStart w:id="2" w:name="_Toc47844936"/>
      <w:r>
        <w:rPr>
          <w:rFonts w:cs="Times New Roman"/>
          <w:sz w:val="20"/>
          <w:szCs w:val="20"/>
        </w:rPr>
        <w:t>Pirkimo sąlygų</w:t>
      </w:r>
    </w:p>
    <w:p w14:paraId="6CDCC9EE" w14:textId="77777777" w:rsidR="000D0EF3" w:rsidRDefault="00000000">
      <w:pPr>
        <w:pStyle w:val="Body2"/>
        <w:spacing w:after="0"/>
        <w:ind w:firstLine="567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 priedas „Kokybės vertinimo kriterijai (I-III pirkimo dalims)“</w:t>
      </w:r>
    </w:p>
    <w:p w14:paraId="6D3B8EEB" w14:textId="77777777" w:rsidR="000D0EF3" w:rsidRDefault="00000000">
      <w:pPr>
        <w:pStyle w:val="Standard"/>
        <w:tabs>
          <w:tab w:val="left" w:pos="567"/>
        </w:tabs>
        <w:jc w:val="both"/>
        <w:rPr>
          <w:rFonts w:eastAsia="Calibri" w:cs="Times New Roman"/>
          <w:lang w:eastAsia="lt-LT"/>
        </w:rPr>
      </w:pPr>
      <w:r>
        <w:rPr>
          <w:rFonts w:eastAsia="Calibri" w:cs="Times New Roman"/>
          <w:lang w:eastAsia="lt-LT"/>
        </w:rPr>
        <w:tab/>
      </w:r>
      <w:bookmarkStart w:id="3" w:name="_Toc47844940"/>
      <w:bookmarkStart w:id="4" w:name="_Toc60525494"/>
    </w:p>
    <w:p w14:paraId="20E6B719" w14:textId="77777777" w:rsidR="000D0EF3" w:rsidRDefault="000D0EF3">
      <w:pPr>
        <w:pStyle w:val="Standard"/>
        <w:tabs>
          <w:tab w:val="left" w:pos="567"/>
        </w:tabs>
        <w:jc w:val="both"/>
        <w:rPr>
          <w:rFonts w:eastAsia="Calibri" w:cs="Times New Roman"/>
          <w:b/>
          <w:bCs/>
          <w:lang w:eastAsia="lt-LT"/>
        </w:rPr>
      </w:pPr>
    </w:p>
    <w:p w14:paraId="4E0AF8F2" w14:textId="26E56E08" w:rsidR="000D0EF3" w:rsidRDefault="00000000">
      <w:pPr>
        <w:pStyle w:val="Standard"/>
        <w:jc w:val="center"/>
      </w:pPr>
      <w:r>
        <w:rPr>
          <w:rFonts w:cs="Times New Roman"/>
          <w:b/>
          <w:bCs/>
        </w:rPr>
        <w:t xml:space="preserve"> </w:t>
      </w:r>
      <w:r>
        <w:rPr>
          <w:rFonts w:eastAsia="Calibri" w:cs="Times New Roman"/>
          <w:b/>
          <w:bCs/>
          <w:color w:val="000000"/>
          <w:kern w:val="0"/>
        </w:rPr>
        <w:t>KOKYBĖS VERTINIMO KRITERIJAI</w:t>
      </w:r>
      <w:r w:rsidR="00847A09">
        <w:rPr>
          <w:rFonts w:eastAsia="Calibri" w:cs="Times New Roman"/>
          <w:b/>
          <w:bCs/>
          <w:color w:val="000000"/>
          <w:kern w:val="0"/>
        </w:rPr>
        <w:t xml:space="preserve">   </w:t>
      </w:r>
    </w:p>
    <w:p w14:paraId="15FD44F7" w14:textId="77777777" w:rsidR="000D0EF3" w:rsidRDefault="000D0EF3">
      <w:pPr>
        <w:pStyle w:val="Standard"/>
        <w:jc w:val="both"/>
        <w:rPr>
          <w:rFonts w:cs="Times New Roman"/>
        </w:rPr>
      </w:pPr>
    </w:p>
    <w:p w14:paraId="304B8489" w14:textId="77777777" w:rsidR="000D0EF3" w:rsidRDefault="00000000">
      <w:pPr>
        <w:pStyle w:val="Standard"/>
        <w:ind w:firstLine="624"/>
        <w:jc w:val="both"/>
      </w:pPr>
      <w:r>
        <w:rPr>
          <w:rFonts w:cs="Times New Roman"/>
          <w:lang w:eastAsia="lt-LT"/>
        </w:rPr>
        <w:t xml:space="preserve">1. Perkančioji organizacija ekonomiškai naudingiausią pasiūlymą </w:t>
      </w:r>
      <w:r>
        <w:rPr>
          <w:rFonts w:cs="Times New Roman"/>
          <w:color w:val="000000"/>
          <w:kern w:val="0"/>
        </w:rPr>
        <w:t xml:space="preserve">(kiekvienai pirkimo daliai atskirai) </w:t>
      </w:r>
      <w:r>
        <w:rPr>
          <w:rFonts w:cs="Times New Roman"/>
          <w:lang w:eastAsia="lt-LT"/>
        </w:rPr>
        <w:t xml:space="preserve">išrenka pagal </w:t>
      </w:r>
      <w:r>
        <w:rPr>
          <w:rFonts w:cs="Times New Roman"/>
          <w:b/>
          <w:bCs/>
          <w:lang w:eastAsia="lt-LT"/>
        </w:rPr>
        <w:t>kainos ir kokybės santykį,</w:t>
      </w:r>
      <w:r>
        <w:rPr>
          <w:rFonts w:cs="Times New Roman"/>
          <w:lang w:eastAsia="lt-LT"/>
        </w:rPr>
        <w:t xml:space="preserve"> vadovaudamasi šioje dalyje nustatyta vertinimo tvarka.</w:t>
      </w:r>
    </w:p>
    <w:p w14:paraId="5C283636" w14:textId="12089C81" w:rsidR="000D0EF3" w:rsidRDefault="00D21997">
      <w:pPr>
        <w:pStyle w:val="Standard"/>
        <w:ind w:firstLine="624"/>
        <w:jc w:val="both"/>
      </w:pPr>
      <w:hyperlink r:id="rId7" w:history="1">
        <w:r>
          <w:rPr>
            <w:rStyle w:val="Internetlink"/>
            <w:rFonts w:cs="Times New Roman"/>
            <w:bCs/>
            <w:color w:val="00000A"/>
            <w:u w:val="none"/>
          </w:rPr>
          <w:t>2</w:t>
        </w:r>
        <w:r w:rsidR="000D0EF3">
          <w:rPr>
            <w:rStyle w:val="Internetlink"/>
            <w:rFonts w:cs="Times New Roman"/>
            <w:bCs/>
            <w:color w:val="00000A"/>
            <w:u w:val="none"/>
          </w:rPr>
          <w:t>.</w:t>
        </w:r>
        <w:r w:rsidR="000D0EF3">
          <w:rPr>
            <w:rStyle w:val="Internetlink"/>
            <w:rFonts w:cs="Times New Roman"/>
            <w:b/>
            <w:bCs/>
            <w:color w:val="00000A"/>
            <w:u w:val="none"/>
          </w:rPr>
          <w:t xml:space="preserve"> I-III pirkimo dalyje ekonomiškai naudingiausias pasiūlymas bus išrenkamas pagal šiuos vertinimo kriterijus:</w:t>
        </w:r>
      </w:hyperlink>
    </w:p>
    <w:p w14:paraId="0DB4A989" w14:textId="77777777" w:rsidR="000D0EF3" w:rsidRDefault="000D0EF3">
      <w:pPr>
        <w:pStyle w:val="Standard"/>
        <w:ind w:firstLine="624"/>
        <w:jc w:val="both"/>
      </w:pPr>
    </w:p>
    <w:tbl>
      <w:tblPr>
        <w:tblW w:w="9785" w:type="dxa"/>
        <w:tblInd w:w="-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3"/>
        <w:gridCol w:w="3102"/>
      </w:tblGrid>
      <w:tr w:rsidR="000D0EF3" w14:paraId="5FF37772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66D8A02B" w14:textId="77777777" w:rsidR="000D0EF3" w:rsidRDefault="00000000">
            <w:pPr>
              <w:pStyle w:val="Standard"/>
              <w:widowControl w:val="0"/>
              <w:spacing w:after="119"/>
              <w:jc w:val="center"/>
            </w:pPr>
            <w:r>
              <w:rPr>
                <w:rStyle w:val="Internetlink"/>
                <w:rFonts w:cs="Times New Roman"/>
                <w:b/>
                <w:color w:val="000000"/>
                <w:u w:val="none"/>
              </w:rPr>
              <w:t>Vertinimo kriterijai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582B1" w14:textId="77777777" w:rsidR="000D0EF3" w:rsidRDefault="00000000">
            <w:pPr>
              <w:pStyle w:val="Standard"/>
              <w:widowControl w:val="0"/>
              <w:spacing w:after="119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Lyginamasis svoris ekonominio naudingumo įvertinime</w:t>
            </w:r>
          </w:p>
        </w:tc>
      </w:tr>
      <w:tr w:rsidR="000D0EF3" w14:paraId="4B02506C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3A44A1" w14:textId="77777777" w:rsidR="000D0EF3" w:rsidRDefault="00000000">
            <w:pPr>
              <w:pStyle w:val="Standard"/>
              <w:widowControl w:val="0"/>
              <w:spacing w:after="119"/>
            </w:pPr>
            <w:r>
              <w:rPr>
                <w:rFonts w:cs="Times New Roman"/>
                <w:color w:val="000000"/>
              </w:rPr>
              <w:t xml:space="preserve">Pirmas kriterijus – kaina </w:t>
            </w:r>
            <w:r>
              <w:rPr>
                <w:rFonts w:cs="Times New Roman"/>
                <w:b/>
                <w:bCs/>
                <w:color w:val="000000"/>
              </w:rPr>
              <w:t>(C)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4867A3C3" w14:textId="77777777" w:rsidR="000D0EF3" w:rsidRDefault="00000000">
            <w:pPr>
              <w:pStyle w:val="Standard"/>
              <w:widowControl w:val="0"/>
              <w:spacing w:after="119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X=90</w:t>
            </w:r>
          </w:p>
        </w:tc>
      </w:tr>
      <w:tr w:rsidR="000D0EF3" w14:paraId="0E9916A7" w14:textId="77777777">
        <w:tc>
          <w:tcPr>
            <w:tcW w:w="97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56" w:type="dxa"/>
            </w:tcMar>
          </w:tcPr>
          <w:p w14:paraId="32D41E3F" w14:textId="77777777" w:rsidR="000D0EF3" w:rsidRDefault="00000000">
            <w:pPr>
              <w:pStyle w:val="Standard"/>
              <w:widowControl w:val="0"/>
              <w:spacing w:after="119"/>
              <w:jc w:val="both"/>
            </w:pPr>
            <w:r>
              <w:rPr>
                <w:rFonts w:cs="Times New Roman"/>
                <w:color w:val="000000"/>
              </w:rPr>
              <w:t xml:space="preserve">Antras kriterijus – Techninio pranašumo kriterijus </w:t>
            </w:r>
            <w:r>
              <w:rPr>
                <w:rFonts w:cs="Times New Roman"/>
                <w:b/>
                <w:bCs/>
                <w:color w:val="000000"/>
              </w:rPr>
              <w:t>(T):</w:t>
            </w:r>
          </w:p>
        </w:tc>
      </w:tr>
      <w:tr w:rsidR="000D0EF3" w14:paraId="32CD78AC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</w:tcPr>
          <w:p w14:paraId="2206CE40" w14:textId="77777777" w:rsidR="000D0EF3" w:rsidRDefault="00000000">
            <w:pPr>
              <w:pStyle w:val="Standard"/>
              <w:widowControl w:val="0"/>
            </w:pPr>
            <w:r>
              <w:rPr>
                <w:rFonts w:cs="Times New Roman"/>
                <w:color w:val="000000"/>
              </w:rPr>
              <w:t xml:space="preserve">Papildomas garantinis terminas mėnesiais </w:t>
            </w:r>
            <w:r>
              <w:rPr>
                <w:rFonts w:cs="Times New Roman"/>
                <w:b/>
                <w:bCs/>
                <w:color w:val="000000"/>
              </w:rPr>
              <w:t>(T)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  <w:iCs/>
                <w:color w:val="000000"/>
              </w:rPr>
              <w:t>(maksimalus 24 mėn.)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7A232EF5" w14:textId="77777777" w:rsidR="000D0EF3" w:rsidRDefault="00000000">
            <w:pPr>
              <w:pStyle w:val="Standard"/>
              <w:widowControl w:val="0"/>
              <w:spacing w:after="119"/>
              <w:jc w:val="center"/>
            </w:pPr>
            <w:r>
              <w:rPr>
                <w:rFonts w:cs="Times New Roman"/>
                <w:b/>
                <w:bCs/>
                <w:color w:val="000000"/>
              </w:rPr>
              <w:t>Y=10</w:t>
            </w:r>
          </w:p>
        </w:tc>
      </w:tr>
    </w:tbl>
    <w:p w14:paraId="0F9B2824" w14:textId="77777777" w:rsidR="000D0EF3" w:rsidRDefault="000D0EF3">
      <w:pPr>
        <w:pStyle w:val="Standard"/>
        <w:rPr>
          <w:rFonts w:cs="Times New Roman"/>
        </w:rPr>
      </w:pPr>
    </w:p>
    <w:p w14:paraId="4E5FB5C2" w14:textId="6EAFA77E" w:rsidR="000D0EF3" w:rsidRDefault="00D21997">
      <w:pPr>
        <w:pStyle w:val="Standard"/>
        <w:ind w:firstLine="567"/>
        <w:rPr>
          <w:rFonts w:cs="Times New Roman"/>
        </w:rPr>
      </w:pPr>
      <w:r>
        <w:rPr>
          <w:rFonts w:cs="Times New Roman"/>
        </w:rPr>
        <w:t>3. Ekonominis naudingumas (S) apskaičiuojamas sudedant tiekėjo pasiūlymo kainos (C) ir kitų kriterijų (T) balus:</w:t>
      </w:r>
    </w:p>
    <w:p w14:paraId="48CCB4A9" w14:textId="77777777" w:rsidR="000D0EF3" w:rsidRDefault="000D0EF3">
      <w:pPr>
        <w:pStyle w:val="Standard"/>
        <w:rPr>
          <w:rFonts w:cs="Times New Roman"/>
        </w:rPr>
      </w:pPr>
    </w:p>
    <w:p w14:paraId="703B816C" w14:textId="77777777" w:rsidR="000D0EF3" w:rsidRDefault="00000000">
      <w:pPr>
        <w:ind w:firstLine="567"/>
        <w:jc w:val="center"/>
      </w:pPr>
      <w:r>
        <w:t>S=C+ T</w:t>
      </w:r>
    </w:p>
    <w:p w14:paraId="35E0F7C2" w14:textId="77777777" w:rsidR="000D0EF3" w:rsidRDefault="000D0EF3">
      <w:pPr>
        <w:ind w:firstLine="567"/>
        <w:jc w:val="center"/>
      </w:pPr>
    </w:p>
    <w:p w14:paraId="128D9A22" w14:textId="5BD31912" w:rsidR="000D0EF3" w:rsidRDefault="00D21997">
      <w:pPr>
        <w:tabs>
          <w:tab w:val="left" w:pos="851"/>
        </w:tabs>
        <w:suppressAutoHyphens w:val="0"/>
        <w:spacing w:before="60" w:after="60"/>
        <w:ind w:right="-1" w:firstLine="567"/>
        <w:contextualSpacing/>
        <w:jc w:val="both"/>
        <w:textAlignment w:val="auto"/>
      </w:pPr>
      <w:r>
        <w:rPr>
          <w:b/>
          <w:bCs/>
        </w:rPr>
        <w:t>4. Pirmas kriterijus</w:t>
      </w:r>
      <w:r>
        <w:t xml:space="preserve"> – Kaina (C). Pasiūlymo kainos (C) balai apskaičiuojami mažiausios pasiūlytos kainos (C</w:t>
      </w:r>
      <w:r>
        <w:rPr>
          <w:vertAlign w:val="subscript"/>
        </w:rPr>
        <w:t>min</w:t>
      </w:r>
      <w:r>
        <w:t>) ir vertinamo pasiūlymo kainos (C</w:t>
      </w:r>
      <w:r>
        <w:rPr>
          <w:vertAlign w:val="subscript"/>
        </w:rPr>
        <w:t>p</w:t>
      </w:r>
      <w:r>
        <w:t>) santykį padauginant iš kainos lyginamojo svorio (X):</w:t>
      </w:r>
    </w:p>
    <w:p w14:paraId="5D5EB6DC" w14:textId="77777777" w:rsidR="000D0EF3" w:rsidRDefault="00000000">
      <w:pPr>
        <w:ind w:right="-1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·X</m:t>
          </m:r>
        </m:oMath>
      </m:oMathPara>
    </w:p>
    <w:p w14:paraId="1599EBB8" w14:textId="77777777" w:rsidR="000D0EF3" w:rsidRDefault="000D0EF3">
      <w:pPr>
        <w:pStyle w:val="Standard"/>
        <w:spacing w:after="198" w:line="276" w:lineRule="auto"/>
        <w:rPr>
          <w:rFonts w:cs="Times New Roman"/>
          <w:color w:val="000000"/>
        </w:rPr>
      </w:pPr>
    </w:p>
    <w:p w14:paraId="4CF4A47F" w14:textId="5C3D840D" w:rsidR="000D0EF3" w:rsidRDefault="00D21997">
      <w:pPr>
        <w:pStyle w:val="Standard"/>
        <w:spacing w:after="198" w:line="276" w:lineRule="auto"/>
        <w:ind w:firstLine="567"/>
        <w:jc w:val="both"/>
      </w:pPr>
      <w:r>
        <w:rPr>
          <w:rFonts w:cs="Times New Roman"/>
          <w:b/>
          <w:bCs/>
          <w:color w:val="000000"/>
        </w:rPr>
        <w:t>5. Antro kriterijaus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(T)</w:t>
      </w:r>
      <w:r>
        <w:rPr>
          <w:rFonts w:cs="Times New Roman"/>
          <w:color w:val="000000"/>
        </w:rPr>
        <w:t xml:space="preserve"> (papildomas garantinis terminas mėnesiais) balai apskaičiuojami pagal formulę:</w:t>
      </w:r>
    </w:p>
    <w:p w14:paraId="5FF99441" w14:textId="69EA146C" w:rsidR="00701DE1" w:rsidRDefault="00701DE1" w:rsidP="00701DE1">
      <w:pPr>
        <w:ind w:right="-1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 xml:space="preserve">g tiekėjo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gmax</m:t>
                  </m:r>
                </m:sub>
              </m:sSub>
            </m:den>
          </m:f>
          <m:r>
            <w:rPr>
              <w:rFonts w:ascii="Cambria Math" w:hAnsi="Cambria Math"/>
            </w:rPr>
            <m:t>·Y</m:t>
          </m:r>
        </m:oMath>
      </m:oMathPara>
    </w:p>
    <w:p w14:paraId="4D2A0473" w14:textId="77777777" w:rsidR="00701DE1" w:rsidRDefault="00701DE1">
      <w:pPr>
        <w:pStyle w:val="Standard"/>
        <w:jc w:val="center"/>
      </w:pPr>
    </w:p>
    <w:p w14:paraId="151F5776" w14:textId="77777777" w:rsidR="000D0EF3" w:rsidRDefault="000D0EF3">
      <w:pPr>
        <w:pStyle w:val="Standard"/>
        <w:rPr>
          <w:rFonts w:eastAsia="Times New Roman" w:cs="Times New Roman"/>
          <w:color w:val="000000"/>
        </w:rPr>
      </w:pPr>
    </w:p>
    <w:p w14:paraId="6E6B13F8" w14:textId="77777777" w:rsidR="000D0EF3" w:rsidRDefault="000D0EF3">
      <w:pPr>
        <w:pStyle w:val="Standard"/>
        <w:rPr>
          <w:rFonts w:eastAsia="Times New Roman" w:cs="Times New Roman"/>
          <w:color w:val="000000"/>
        </w:rPr>
      </w:pPr>
    </w:p>
    <w:p w14:paraId="1CEA0396" w14:textId="77777777" w:rsidR="000D0EF3" w:rsidRDefault="00000000">
      <w:pPr>
        <w:pStyle w:val="Standard"/>
      </w:pPr>
      <w:r>
        <w:rPr>
          <w:rFonts w:eastAsia="Times New Roman" w:cs="Times New Roman"/>
        </w:rPr>
        <w:t>T</w:t>
      </w:r>
      <w:r>
        <w:rPr>
          <w:rFonts w:eastAsia="Times New Roman" w:cs="Times New Roman"/>
          <w:vertAlign w:val="subscript"/>
        </w:rPr>
        <w:t>g tiekėjo</w:t>
      </w:r>
      <w:r>
        <w:rPr>
          <w:rFonts w:eastAsia="Times New Roman" w:cs="Times New Roman"/>
        </w:rPr>
        <w:t xml:space="preserve"> – vertinamame pasiūlyme tiekėjo siūlomas papildomas garantinis terminas mėnesiais;</w:t>
      </w:r>
    </w:p>
    <w:p w14:paraId="589859F2" w14:textId="77777777" w:rsidR="000D0EF3" w:rsidRDefault="00000000">
      <w:pPr>
        <w:pStyle w:val="Standard"/>
      </w:pPr>
      <w:r>
        <w:rPr>
          <w:rFonts w:eastAsia="Times New Roman" w:cs="Times New Roman"/>
        </w:rPr>
        <w:t>T</w:t>
      </w:r>
      <w:r>
        <w:rPr>
          <w:rFonts w:eastAsia="Times New Roman" w:cs="Times New Roman"/>
          <w:vertAlign w:val="subscript"/>
        </w:rPr>
        <w:t>g max</w:t>
      </w:r>
      <w:r>
        <w:rPr>
          <w:rFonts w:eastAsia="Times New Roman" w:cs="Times New Roman"/>
        </w:rPr>
        <w:t xml:space="preserve"> – pasiūlymuose siūlomas didžiausias papildomas garantinis terminas mėnesiais;</w:t>
      </w:r>
    </w:p>
    <w:p w14:paraId="67BF8B8D" w14:textId="77777777" w:rsidR="000D0EF3" w:rsidRDefault="00000000">
      <w:pPr>
        <w:pStyle w:val="Standard"/>
      </w:pPr>
      <w:r>
        <w:rPr>
          <w:rFonts w:eastAsia="Times New Roman" w:cs="Times New Roman"/>
          <w:color w:val="000000"/>
        </w:rPr>
        <w:t>10 – kriterijaus lyginamasis svoris (Y), balas.</w:t>
      </w:r>
    </w:p>
    <w:p w14:paraId="3A599CFB" w14:textId="77777777" w:rsidR="000D0EF3" w:rsidRDefault="000D0EF3">
      <w:pPr>
        <w:pStyle w:val="Standard"/>
        <w:jc w:val="both"/>
        <w:rPr>
          <w:rFonts w:cs="Times New Roman"/>
        </w:rPr>
      </w:pPr>
    </w:p>
    <w:p w14:paraId="1AE80D39" w14:textId="7409CBCD" w:rsidR="000D0EF3" w:rsidRDefault="00D21997">
      <w:pPr>
        <w:pStyle w:val="Standard"/>
        <w:ind w:firstLine="567"/>
        <w:jc w:val="both"/>
      </w:pPr>
      <w:r>
        <w:rPr>
          <w:rFonts w:cs="Times New Roman"/>
        </w:rPr>
        <w:t>6.</w:t>
      </w:r>
      <w:r>
        <w:rPr>
          <w:rFonts w:eastAsia="Calibri" w:cs="Times New Roman"/>
        </w:rPr>
        <w:t xml:space="preserve"> </w:t>
      </w:r>
      <w:r>
        <w:rPr>
          <w:rFonts w:cs="Times New Roman"/>
          <w:color w:val="000000"/>
        </w:rPr>
        <w:t xml:space="preserve">Kriterijus </w:t>
      </w:r>
      <w:r>
        <w:rPr>
          <w:rFonts w:cs="Times New Roman"/>
          <w:b/>
          <w:bCs/>
          <w:color w:val="000000"/>
        </w:rPr>
        <w:t>(T)</w:t>
      </w:r>
      <w:r>
        <w:rPr>
          <w:rFonts w:cs="Times New Roman"/>
          <w:color w:val="000000"/>
        </w:rPr>
        <w:t xml:space="preserve"> (papildomas garantinis terminas mėnesiais)</w:t>
      </w:r>
      <w:r>
        <w:rPr>
          <w:rFonts w:eastAsia="Calibri" w:cs="Times New Roman"/>
        </w:rPr>
        <w:t xml:space="preserve">: minimalus vertinamas 1 mėnuo ir maksimalus 24 mėnesiai nuo Techninėje specifikacijoje dėl I ir III pirkimo dalies numatyto privalomo 24 mėn., ir Techninėje specifikacijoje dėl II pirkimo dalies numatyto privalomo 12 mėn., garantijos termino. Tiekėjui įrašius 0 arba nenurodžius papildomo garantinio termino, kriterijui </w:t>
      </w:r>
      <w:r>
        <w:rPr>
          <w:rFonts w:eastAsia="Calibri" w:cs="Times New Roman"/>
          <w:b/>
          <w:bCs/>
        </w:rPr>
        <w:t xml:space="preserve">(T) </w:t>
      </w:r>
      <w:r>
        <w:rPr>
          <w:rFonts w:eastAsia="Calibri" w:cs="Times New Roman"/>
        </w:rPr>
        <w:t xml:space="preserve">bus skiriama 0 ekonominio naudingumo balų. </w:t>
      </w:r>
      <w:r>
        <w:rPr>
          <w:rFonts w:eastAsia="Calibri" w:cs="Times New Roman"/>
          <w:b/>
          <w:bCs/>
        </w:rPr>
        <w:t>Jeigu tiekėjas pasiūlys papildomą garantijos terminą mėnesiais virš nustatytos maksimalaus vertinamo papildomos garantijos termino reikšmės, tiekėjui bus skiriama 10 ekonominio naudingumo balų (papildomų balų nebus suteikiama).</w:t>
      </w:r>
    </w:p>
    <w:p w14:paraId="1E456FB7" w14:textId="68C10C88" w:rsidR="000D0EF3" w:rsidRDefault="00000000" w:rsidP="00701DE1">
      <w:pPr>
        <w:pStyle w:val="Standard"/>
        <w:ind w:firstLine="567"/>
        <w:jc w:val="both"/>
      </w:pPr>
      <w:r>
        <w:rPr>
          <w:rFonts w:cs="Times New Roman"/>
        </w:rPr>
        <w:t xml:space="preserve"> </w:t>
      </w:r>
      <w:r w:rsidR="00D21997">
        <w:rPr>
          <w:rFonts w:cs="Times New Roman"/>
        </w:rPr>
        <w:t>7</w:t>
      </w:r>
      <w:r>
        <w:rPr>
          <w:rFonts w:cs="Times New Roman"/>
        </w:rPr>
        <w:t xml:space="preserve">. Ekonomiškai naudingiausiu pasiūlymu bus pripažintas tas pasiūlymas, kurio ekonominio naudingumo </w:t>
      </w:r>
      <w:r>
        <w:rPr>
          <w:rFonts w:cs="Times New Roman"/>
          <w:b/>
          <w:bCs/>
        </w:rPr>
        <w:t>(S)</w:t>
      </w:r>
      <w:r>
        <w:rPr>
          <w:rFonts w:cs="Times New Roman"/>
        </w:rPr>
        <w:t xml:space="preserve"> reikšmė bus didžiausia. </w:t>
      </w:r>
      <w:r>
        <w:rPr>
          <w:rFonts w:cs="Times New Roman"/>
          <w:b/>
          <w:bCs/>
        </w:rPr>
        <w:t>Maksimalus galimas balų skaičius – 100</w:t>
      </w:r>
      <w:r>
        <w:rPr>
          <w:rFonts w:cs="Times New Roman"/>
        </w:rPr>
        <w:t>. Visi balai apvalinami dviejų skaičių po kablelio tikslumu.</w:t>
      </w:r>
      <w:bookmarkEnd w:id="0"/>
      <w:r>
        <w:rPr>
          <w:rFonts w:eastAsia="Times New Roman" w:cs="Times New Roman"/>
        </w:rPr>
        <w:t xml:space="preserve">   </w:t>
      </w:r>
      <w:bookmarkEnd w:id="1"/>
      <w:bookmarkEnd w:id="2"/>
      <w:bookmarkEnd w:id="3"/>
      <w:bookmarkEnd w:id="4"/>
    </w:p>
    <w:sectPr w:rsidR="000D0EF3">
      <w:headerReference w:type="default" r:id="rId8"/>
      <w:pgSz w:w="11906" w:h="16838"/>
      <w:pgMar w:top="709" w:right="567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A18A7" w14:textId="77777777" w:rsidR="004B5372" w:rsidRDefault="004B5372">
      <w:r>
        <w:separator/>
      </w:r>
    </w:p>
  </w:endnote>
  <w:endnote w:type="continuationSeparator" w:id="0">
    <w:p w14:paraId="78745868" w14:textId="77777777" w:rsidR="004B5372" w:rsidRDefault="004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OpenSymbol">
    <w:charset w:val="02"/>
    <w:family w:val="auto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3BA2" w14:textId="77777777" w:rsidR="004B5372" w:rsidRDefault="004B5372">
      <w:r>
        <w:rPr>
          <w:color w:val="000000"/>
        </w:rPr>
        <w:separator/>
      </w:r>
    </w:p>
  </w:footnote>
  <w:footnote w:type="continuationSeparator" w:id="0">
    <w:p w14:paraId="5E3D4286" w14:textId="77777777" w:rsidR="004B5372" w:rsidRDefault="004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FB3F" w14:textId="77777777" w:rsidR="00F32DD2" w:rsidRDefault="00000000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43904"/>
    <w:multiLevelType w:val="multilevel"/>
    <w:tmpl w:val="14E05DC8"/>
    <w:styleLink w:val="WWNum1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" w15:restartNumberingAfterBreak="0">
    <w:nsid w:val="5AEF3EF1"/>
    <w:multiLevelType w:val="multilevel"/>
    <w:tmpl w:val="EDC8D9E4"/>
    <w:styleLink w:val="WWNum1"/>
    <w:lvl w:ilvl="0">
      <w:numFmt w:val="bullet"/>
      <w:pStyle w:val="Sraassuenkleliais"/>
      <w:lvlText w:val=""/>
      <w:lvlJc w:val="left"/>
      <w:pPr>
        <w:ind w:left="360" w:hanging="360"/>
      </w:pPr>
      <w:rPr>
        <w:rFonts w:ascii="Times New Roman" w:eastAsia="Times New Roman" w:hAnsi="Times New Roman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9F122A3"/>
    <w:multiLevelType w:val="multilevel"/>
    <w:tmpl w:val="DD383CFC"/>
    <w:styleLink w:val="WWNum2"/>
    <w:lvl w:ilvl="0">
      <w:start w:val="1"/>
      <w:numFmt w:val="decimal"/>
      <w:lvlText w:val="%1"/>
      <w:lvlJc w:val="left"/>
      <w:pPr>
        <w:ind w:left="1730" w:hanging="360"/>
      </w:pPr>
    </w:lvl>
    <w:lvl w:ilvl="1">
      <w:start w:val="1"/>
      <w:numFmt w:val="lowerLetter"/>
      <w:lvlText w:val="%1.%2"/>
      <w:lvlJc w:val="left"/>
      <w:pPr>
        <w:ind w:left="2450" w:hanging="360"/>
      </w:pPr>
    </w:lvl>
    <w:lvl w:ilvl="2">
      <w:start w:val="1"/>
      <w:numFmt w:val="lowerRoman"/>
      <w:lvlText w:val="%1.%2.%3"/>
      <w:lvlJc w:val="right"/>
      <w:pPr>
        <w:ind w:left="3170" w:hanging="180"/>
      </w:pPr>
    </w:lvl>
    <w:lvl w:ilvl="3">
      <w:start w:val="1"/>
      <w:numFmt w:val="decimal"/>
      <w:lvlText w:val="%1.%2.%3.%4"/>
      <w:lvlJc w:val="left"/>
      <w:pPr>
        <w:ind w:left="3890" w:hanging="360"/>
      </w:pPr>
    </w:lvl>
    <w:lvl w:ilvl="4">
      <w:start w:val="1"/>
      <w:numFmt w:val="lowerLetter"/>
      <w:lvlText w:val="%1.%2.%3.%4.%5"/>
      <w:lvlJc w:val="left"/>
      <w:pPr>
        <w:ind w:left="4610" w:hanging="360"/>
      </w:pPr>
    </w:lvl>
    <w:lvl w:ilvl="5">
      <w:start w:val="1"/>
      <w:numFmt w:val="lowerRoman"/>
      <w:lvlText w:val="%1.%2.%3.%4.%5.%6"/>
      <w:lvlJc w:val="right"/>
      <w:pPr>
        <w:ind w:left="5330" w:hanging="180"/>
      </w:pPr>
    </w:lvl>
    <w:lvl w:ilvl="6">
      <w:start w:val="1"/>
      <w:numFmt w:val="decimal"/>
      <w:lvlText w:val="%1.%2.%3.%4.%5.%6.%7"/>
      <w:lvlJc w:val="left"/>
      <w:pPr>
        <w:ind w:left="6050" w:hanging="360"/>
      </w:pPr>
    </w:lvl>
    <w:lvl w:ilvl="7">
      <w:start w:val="1"/>
      <w:numFmt w:val="lowerLetter"/>
      <w:lvlText w:val="%1.%2.%3.%4.%5.%6.%7.%8"/>
      <w:lvlJc w:val="left"/>
      <w:pPr>
        <w:ind w:left="6770" w:hanging="360"/>
      </w:pPr>
    </w:lvl>
    <w:lvl w:ilvl="8">
      <w:start w:val="1"/>
      <w:numFmt w:val="lowerRoman"/>
      <w:lvlText w:val="%1.%2.%3.%4.%5.%6.%7.%8.%9"/>
      <w:lvlJc w:val="right"/>
      <w:pPr>
        <w:ind w:left="7490" w:hanging="180"/>
      </w:pPr>
    </w:lvl>
  </w:abstractNum>
  <w:abstractNum w:abstractNumId="3" w15:restartNumberingAfterBreak="0">
    <w:nsid w:val="7BD74534"/>
    <w:multiLevelType w:val="multilevel"/>
    <w:tmpl w:val="531853FA"/>
    <w:styleLink w:val="WWNum1a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num w:numId="1" w16cid:durableId="1245839957">
    <w:abstractNumId w:val="1"/>
  </w:num>
  <w:num w:numId="2" w16cid:durableId="184949483">
    <w:abstractNumId w:val="0"/>
  </w:num>
  <w:num w:numId="3" w16cid:durableId="284965194">
    <w:abstractNumId w:val="2"/>
  </w:num>
  <w:num w:numId="4" w16cid:durableId="418866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EF3"/>
    <w:rsid w:val="000D0EF3"/>
    <w:rsid w:val="002F3702"/>
    <w:rsid w:val="004300C5"/>
    <w:rsid w:val="004B5372"/>
    <w:rsid w:val="00701DE1"/>
    <w:rsid w:val="007F0FC2"/>
    <w:rsid w:val="007F2C41"/>
    <w:rsid w:val="007F63B1"/>
    <w:rsid w:val="00847A09"/>
    <w:rsid w:val="00B847C4"/>
    <w:rsid w:val="00BE720E"/>
    <w:rsid w:val="00D21997"/>
    <w:rsid w:val="00ED52EF"/>
    <w:rsid w:val="00F3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15A7"/>
  <w15:docId w15:val="{4758A5BA-286A-4004-9DA6-7BAFB9E6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kern w:val="3"/>
        <w:sz w:val="24"/>
        <w:szCs w:val="24"/>
        <w:lang w:val="lt-L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 w:cs="Times New Roman"/>
    </w:rPr>
  </w:style>
  <w:style w:type="paragraph" w:styleId="Antrat2">
    <w:name w:val="heading 2"/>
    <w:basedOn w:val="Heading"/>
    <w:uiPriority w:val="9"/>
    <w:semiHidden/>
    <w:unhideWhenUsed/>
    <w:qFormat/>
    <w:pPr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Liberation Sans" w:hAnsi="Liberation Sans" w:cs="Liberation Sans"/>
      <w:sz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raas">
    <w:name w:val="List"/>
    <w:basedOn w:val="Textbody"/>
  </w:style>
  <w:style w:type="paragraph" w:styleId="Antrat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HeaderandFooter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Sraopastraipa">
    <w:name w:val="List Paragraph"/>
    <w:basedOn w:val="Standard"/>
    <w:pPr>
      <w:ind w:left="720"/>
    </w:pPr>
  </w:style>
  <w:style w:type="paragraph" w:customStyle="1" w:styleId="prastojilentel1">
    <w:name w:val="Įprastoji lentelė1"/>
    <w:pPr>
      <w:suppressAutoHyphens/>
      <w:textAlignment w:val="auto"/>
    </w:pPr>
    <w:rPr>
      <w:rFonts w:ascii="Liberation Serif" w:eastAsia="SimSun" w:hAnsi="Liberation Serif" w:cs="Liberation Serif"/>
      <w:sz w:val="20"/>
    </w:rPr>
  </w:style>
  <w:style w:type="paragraph" w:styleId="Sraassuenkleliais">
    <w:name w:val="List Bullet"/>
    <w:basedOn w:val="Standard"/>
    <w:pPr>
      <w:numPr>
        <w:numId w:val="1"/>
      </w:numPr>
      <w:tabs>
        <w:tab w:val="left" w:pos="-2160"/>
      </w:tabs>
    </w:pPr>
  </w:style>
  <w:style w:type="paragraph" w:customStyle="1" w:styleId="Style115">
    <w:name w:val="Style115"/>
    <w:basedOn w:val="Standard"/>
    <w:pPr>
      <w:spacing w:line="259" w:lineRule="exact"/>
      <w:ind w:firstLine="264"/>
    </w:pPr>
  </w:style>
  <w:style w:type="paragraph" w:customStyle="1" w:styleId="Style52">
    <w:name w:val="Style52"/>
    <w:basedOn w:val="Standard"/>
    <w:pPr>
      <w:spacing w:line="151" w:lineRule="exact"/>
      <w:jc w:val="center"/>
    </w:pPr>
  </w:style>
  <w:style w:type="paragraph" w:styleId="Betarp">
    <w:name w:val="No Spacing"/>
    <w:pPr>
      <w:suppressAutoHyphens/>
    </w:pPr>
    <w:rPr>
      <w:rFonts w:ascii="Calibri" w:eastAsia="SimHei" w:hAnsi="Calibri" w:cs="Calibri"/>
      <w:sz w:val="21"/>
      <w:szCs w:val="21"/>
      <w:lang w:val="ar-SA" w:eastAsia="lt-LT" w:bidi="ar-SA"/>
    </w:rPr>
  </w:style>
  <w:style w:type="paragraph" w:customStyle="1" w:styleId="Standarduser">
    <w:name w:val="Standard (user)"/>
    <w:pPr>
      <w:widowControl w:val="0"/>
      <w:suppressAutoHyphens/>
      <w:spacing w:after="160"/>
    </w:pPr>
    <w:rPr>
      <w:rFonts w:ascii="Liberation Serif" w:eastAsia="SimSun" w:hAnsi="Liberation Serif" w:cs="Liberation Serif"/>
      <w:color w:val="00000A"/>
      <w:lang w:val="hi-IN"/>
    </w:rPr>
  </w:style>
  <w:style w:type="paragraph" w:customStyle="1" w:styleId="FootnoteTextCharCharCharChar1">
    <w:name w:val="Footnote Text Char Char Char Char1"/>
    <w:basedOn w:val="Standard"/>
    <w:pPr>
      <w:spacing w:after="200" w:line="276" w:lineRule="exact"/>
    </w:pPr>
  </w:style>
  <w:style w:type="paragraph" w:customStyle="1" w:styleId="Footnote">
    <w:name w:val="Footnote"/>
    <w:basedOn w:val="Standard"/>
  </w:style>
  <w:style w:type="paragraph" w:customStyle="1" w:styleId="Textbodyuser">
    <w:name w:val="Text body (user)"/>
    <w:pPr>
      <w:suppressAutoHyphens/>
      <w:spacing w:after="120"/>
    </w:pPr>
    <w:rPr>
      <w:rFonts w:eastAsia="Times New Roman" w:cs="Times New Roman"/>
      <w:lang w:val="ar-SA" w:eastAsia="lt-LT" w:bidi="ar-SA"/>
    </w:rPr>
  </w:style>
  <w:style w:type="paragraph" w:customStyle="1" w:styleId="Body2">
    <w:name w:val="Body 2"/>
    <w:pPr>
      <w:suppressAutoHyphens/>
      <w:spacing w:after="40"/>
      <w:jc w:val="both"/>
    </w:pPr>
    <w:rPr>
      <w:rFonts w:eastAsia="Arial Unicode MS" w:cs="Arial Unicode MS"/>
      <w:color w:val="000000"/>
      <w:kern w:val="0"/>
      <w:sz w:val="22"/>
      <w:szCs w:val="22"/>
    </w:rPr>
  </w:style>
  <w:style w:type="paragraph" w:customStyle="1" w:styleId="western">
    <w:name w:val="western"/>
    <w:basedOn w:val="Standard"/>
    <w:pPr>
      <w:spacing w:before="119" w:after="119"/>
    </w:pPr>
    <w:rPr>
      <w:rFonts w:ascii="Arial" w:eastAsia="Arial" w:hAnsi="Arial"/>
      <w:color w:val="000000"/>
      <w:sz w:val="2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Hyperlink0">
    <w:name w:val="Hyperlink.0"/>
    <w:basedOn w:val="Internetlink"/>
    <w:rPr>
      <w:color w:val="000080"/>
      <w:u w:val="single" w:color="00000A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eastAsia="Times New Roman" w:cs="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SraopastraipaDiagrama">
    <w:name w:val="Sąrašo pastraipa Diagrama"/>
    <w:basedOn w:val="Numatytasispastraiposriftas"/>
    <w:rPr>
      <w:rFonts w:cs="Times New Roman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sz w:val="22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nenumbering">
    <w:name w:val="Line numbering"/>
  </w:style>
  <w:style w:type="numbering" w:customStyle="1" w:styleId="WWNum1">
    <w:name w:val="WWNum1"/>
    <w:basedOn w:val="Sraonra"/>
    <w:pPr>
      <w:numPr>
        <w:numId w:val="1"/>
      </w:numPr>
    </w:pPr>
  </w:style>
  <w:style w:type="numbering" w:customStyle="1" w:styleId="WWNum1a">
    <w:name w:val="WWNum1a"/>
    <w:basedOn w:val="Sraonra"/>
    <w:pPr>
      <w:numPr>
        <w:numId w:val="2"/>
      </w:numPr>
    </w:pPr>
  </w:style>
  <w:style w:type="numbering" w:customStyle="1" w:styleId="WWNum2">
    <w:name w:val="WWNum2"/>
    <w:basedOn w:val="Sraonra"/>
    <w:pPr>
      <w:numPr>
        <w:numId w:val="3"/>
      </w:numPr>
    </w:pPr>
  </w:style>
  <w:style w:type="numbering" w:customStyle="1" w:styleId="WWNum1aa">
    <w:name w:val="WWNum1aa"/>
    <w:basedOn w:val="Sraonr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raudejai.sodra.lt/draudeju_viesi_duomeny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31\Desktop\2026\1_Medicinos%20&#303;ranga%20(projektas%20Nr.%2009-022-P-0015)\pirkimo%20dokumentai\normal1.ot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normal1.ott</Template>
  <TotalTime>4</TotalTime>
  <Pages>1</Pages>
  <Words>1491</Words>
  <Characters>850</Characters>
  <Application>Microsoft Office Word</Application>
  <DocSecurity>0</DocSecurity>
  <Lines>7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PC31</dc:creator>
  <cp:lastModifiedBy>PC31</cp:lastModifiedBy>
  <cp:revision>7</cp:revision>
  <cp:lastPrinted>2022-05-18T14:04:00Z</cp:lastPrinted>
  <dcterms:created xsi:type="dcterms:W3CDTF">2026-01-14T13:37:00Z</dcterms:created>
  <dcterms:modified xsi:type="dcterms:W3CDTF">2026-01-20T08:04:00Z</dcterms:modified>
</cp:coreProperties>
</file>